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6074.xml.htm"/>
      <w:bookmarkStart w:id="1" w:name="kswkform4_17895960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Rotsztain Diego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StoneX Group Inc.</w:t>
              </w:r>
            </w:hyperlink>
            <w:r>
              <w:rPr/>
              <w:t xml:space="preserve"> [ </w:t>
            </w:r>
            <w:r>
              <w:rPr>
                <w:rFonts w:ascii="Times;serif" w:hAnsi="Times;serif"/>
                <w:color w:val="0000FF"/>
                <w:sz w:val="24"/>
                <w:shd w:fill="FFFFFF" w:val="clear"/>
              </w:rPr>
              <w:t>SNEX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Governance/Legal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50,625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12.26</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85,495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30,327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68.8322</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55,168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20,298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67.1294</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34,870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50,625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506,250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an average price. The Reporting Person will provide to the Commission, the issuer and any stockholder,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Diego Rotsztain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11110" TargetMode="External"/><Relationship Id="rId5" Type="http://schemas.openxmlformats.org/officeDocument/2006/relationships/hyperlink" Target="http://www.sec.gov/cgi-bin/browse-edgar?action=getcompany&amp;CIK=0000913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3436</Characters>
  <CharactersWithSpaces>3969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