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24372.xml.htm"/>
      <w:bookmarkStart w:id="1" w:name="kswkform4_17859243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RADZIWILL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StoneX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the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9"/>
        <w:gridCol w:w="938"/>
        <w:gridCol w:w="806"/>
        <w:gridCol w:w="623"/>
        <w:gridCol w:w="346"/>
        <w:gridCol w:w="773"/>
        <w:gridCol w:w="426"/>
        <w:gridCol w:w="597"/>
        <w:gridCol w:w="1272"/>
        <w:gridCol w:w="981"/>
        <w:gridCol w:w="139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7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Shares of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2,149,105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Through Basic Management Company Inc.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Acquired through the Company's Restricted Stock Program. Shares vest equally on anniversary in years one, two and three.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beneficial ownership amount reported herein reflects a 26-share adjustment to reconcile the reporting person's holdings following prior stock splits. The adjustment does not represent any acquisition or disposition of securities.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John Radziwill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0033" TargetMode="External"/><Relationship Id="rId5" Type="http://schemas.openxmlformats.org/officeDocument/2006/relationships/hyperlink" Target="http://www.sec.gov/cgi-bin/browse-edgar?action=getcompany&amp;CIK=0000913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3438</Characters>
  <CharactersWithSpaces>3991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