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80113.xml.htm"/>
      <w:bookmarkStart w:id="1" w:name="kswkform4_17864801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Thamodaran Dhamu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 PARK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StoneX Group Inc.</w:t>
              </w:r>
            </w:hyperlink>
            <w:r>
              <w:rPr/>
              <w:t xml:space="preserve"> [ </w:t>
            </w:r>
            <w:r>
              <w:rPr>
                <w:rFonts w:ascii="Times;serif" w:hAnsi="Times;serif"/>
                <w:color w:val="0000FF"/>
                <w:sz w:val="24"/>
                <w:shd w:fill="FFFFFF" w:val="clear"/>
              </w:rPr>
              <w:t>SNEX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64.4824</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75,760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an average price. The Reporting Person will provide to the Commission, the issuer and any stockholder,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Dhamu R. Thamodaran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1352" TargetMode="External"/><Relationship Id="rId5" Type="http://schemas.openxmlformats.org/officeDocument/2006/relationships/hyperlink" Target="http://www.sec.gov/cgi-bin/browse-edgar?action=getcompany&amp;CIK=0000913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3266</Characters>
  <CharactersWithSpaces>3797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